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50573" w14:textId="3AE18DDF" w:rsidR="00032473" w:rsidRDefault="00D923F6">
      <w:pPr>
        <w:tabs>
          <w:tab w:val="left" w:pos="7560"/>
        </w:tabs>
        <w:ind w:left="720"/>
        <w:rPr>
          <w:sz w:val="23"/>
          <w:szCs w:val="23"/>
        </w:rPr>
      </w:pPr>
      <w:r>
        <w:rPr>
          <w:noProof/>
        </w:rPr>
        <w:drawing>
          <wp:anchor distT="0" distB="0" distL="114300" distR="114300" simplePos="0" relativeHeight="251658240" behindDoc="1" locked="1" layoutInCell="0" allowOverlap="0" wp14:anchorId="668088E5" wp14:editId="6C10B3D9">
            <wp:simplePos x="0" y="0"/>
            <wp:positionH relativeFrom="page">
              <wp:posOffset>233045</wp:posOffset>
            </wp:positionH>
            <wp:positionV relativeFrom="page">
              <wp:posOffset>301625</wp:posOffset>
            </wp:positionV>
            <wp:extent cx="7391400" cy="1126490"/>
            <wp:effectExtent l="0" t="0" r="0" b="0"/>
            <wp:wrapTopAndBottom/>
            <wp:docPr id="2" name="Picture 2" descr="HHS letterhea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06354" name="Picture 2" descr="HHS letterhead CMYK"/>
                    <pic:cNvPicPr>
                      <a:picLocks noChangeAspect="1" noChangeArrowheads="1"/>
                    </pic:cNvPicPr>
                  </pic:nvPicPr>
                  <pic:blipFill dpi="0">
                    <a:blip r:embed="rId7"/>
                    <a:srcRect/>
                    <a:stretch>
                      <a:fillRect/>
                    </a:stretch>
                  </pic:blipFill>
                  <pic:spPr bwMode="auto">
                    <a:xfrm>
                      <a:off x="0" y="0"/>
                      <a:ext cx="7391400" cy="1126490"/>
                    </a:xfrm>
                    <a:prstGeom prst="rect">
                      <a:avLst/>
                    </a:prstGeom>
                    <a:noFill/>
                  </pic:spPr>
                </pic:pic>
              </a:graphicData>
            </a:graphic>
          </wp:anchor>
        </w:drawing>
      </w:r>
      <w:r>
        <w:tab/>
      </w:r>
      <w:r>
        <w:tab/>
      </w:r>
      <w:r>
        <w:rPr>
          <w:sz w:val="23"/>
          <w:szCs w:val="23"/>
        </w:rPr>
        <w:t>September 2</w:t>
      </w:r>
      <w:r w:rsidR="004353F3">
        <w:rPr>
          <w:sz w:val="23"/>
          <w:szCs w:val="23"/>
        </w:rPr>
        <w:t>4</w:t>
      </w:r>
      <w:r>
        <w:rPr>
          <w:sz w:val="23"/>
          <w:szCs w:val="23"/>
        </w:rPr>
        <w:t>, 2021</w:t>
      </w:r>
    </w:p>
    <w:p w14:paraId="6F7EB28A" w14:textId="77777777" w:rsidR="00032473" w:rsidRDefault="00032473">
      <w:pPr>
        <w:rPr>
          <w:sz w:val="23"/>
          <w:szCs w:val="23"/>
        </w:rPr>
      </w:pPr>
    </w:p>
    <w:p w14:paraId="6A9446F3" w14:textId="77777777" w:rsidR="00032473" w:rsidRDefault="00D923F6">
      <w:pPr>
        <w:rPr>
          <w:sz w:val="23"/>
          <w:szCs w:val="23"/>
        </w:rPr>
      </w:pPr>
      <w:r>
        <w:rPr>
          <w:sz w:val="23"/>
          <w:szCs w:val="23"/>
        </w:rPr>
        <w:t>Elizabeth Brehm</w:t>
      </w:r>
    </w:p>
    <w:p w14:paraId="5572CAFE" w14:textId="77777777" w:rsidR="00032473" w:rsidRDefault="00D923F6">
      <w:pPr>
        <w:rPr>
          <w:sz w:val="23"/>
          <w:szCs w:val="23"/>
        </w:rPr>
      </w:pPr>
      <w:r>
        <w:rPr>
          <w:sz w:val="23"/>
          <w:szCs w:val="23"/>
        </w:rPr>
        <w:t xml:space="preserve">Siri &amp; </w:t>
      </w:r>
      <w:proofErr w:type="spellStart"/>
      <w:r>
        <w:rPr>
          <w:sz w:val="23"/>
          <w:szCs w:val="23"/>
        </w:rPr>
        <w:t>Glimstad</w:t>
      </w:r>
      <w:proofErr w:type="spellEnd"/>
    </w:p>
    <w:p w14:paraId="2FE24FA3" w14:textId="77777777" w:rsidR="00032473" w:rsidRDefault="00D923F6">
      <w:pPr>
        <w:rPr>
          <w:sz w:val="23"/>
          <w:szCs w:val="23"/>
        </w:rPr>
      </w:pPr>
      <w:r>
        <w:rPr>
          <w:sz w:val="23"/>
          <w:szCs w:val="23"/>
        </w:rPr>
        <w:t>200 Park Ave</w:t>
      </w:r>
      <w:r>
        <w:rPr>
          <w:sz w:val="23"/>
          <w:szCs w:val="22"/>
        </w:rPr>
        <w:t>nue</w:t>
      </w:r>
    </w:p>
    <w:p w14:paraId="1815E022" w14:textId="77777777" w:rsidR="00032473" w:rsidRDefault="00D923F6">
      <w:pPr>
        <w:rPr>
          <w:sz w:val="23"/>
          <w:szCs w:val="23"/>
        </w:rPr>
      </w:pPr>
      <w:r>
        <w:rPr>
          <w:sz w:val="23"/>
          <w:szCs w:val="23"/>
        </w:rPr>
        <w:t>17th Floor</w:t>
      </w:r>
    </w:p>
    <w:p w14:paraId="1A442982" w14:textId="77777777" w:rsidR="00032473" w:rsidRDefault="00D923F6">
      <w:pPr>
        <w:rPr>
          <w:sz w:val="23"/>
          <w:szCs w:val="23"/>
        </w:rPr>
      </w:pPr>
      <w:r>
        <w:rPr>
          <w:sz w:val="23"/>
          <w:szCs w:val="23"/>
        </w:rPr>
        <w:t>New York, NY  10166</w:t>
      </w:r>
    </w:p>
    <w:p w14:paraId="43F919B2" w14:textId="77777777" w:rsidR="00032473" w:rsidRDefault="00D923F6">
      <w:pPr>
        <w:rPr>
          <w:sz w:val="23"/>
          <w:szCs w:val="23"/>
        </w:rPr>
      </w:pPr>
      <w:r>
        <w:rPr>
          <w:sz w:val="23"/>
          <w:szCs w:val="23"/>
        </w:rPr>
        <w:t>Via email: foia@sirillp.com</w:t>
      </w:r>
    </w:p>
    <w:p w14:paraId="465BA7B7" w14:textId="77777777" w:rsidR="00032473" w:rsidRDefault="00032473">
      <w:pPr>
        <w:rPr>
          <w:sz w:val="23"/>
          <w:szCs w:val="23"/>
        </w:rPr>
      </w:pPr>
    </w:p>
    <w:p w14:paraId="453E0074" w14:textId="77777777" w:rsidR="00032473" w:rsidRDefault="00D923F6">
      <w:pPr>
        <w:rPr>
          <w:sz w:val="23"/>
          <w:szCs w:val="23"/>
        </w:rPr>
      </w:pPr>
      <w:r>
        <w:rPr>
          <w:sz w:val="23"/>
          <w:szCs w:val="23"/>
        </w:rPr>
        <w:t xml:space="preserve">Dear </w:t>
      </w:r>
      <w:r>
        <w:rPr>
          <w:sz w:val="23"/>
          <w:szCs w:val="22"/>
        </w:rPr>
        <w:t xml:space="preserve">Ms. </w:t>
      </w:r>
      <w:r>
        <w:rPr>
          <w:sz w:val="23"/>
          <w:szCs w:val="23"/>
        </w:rPr>
        <w:t>Brehm:</w:t>
      </w:r>
    </w:p>
    <w:p w14:paraId="76A44E56" w14:textId="77777777" w:rsidR="00032473" w:rsidRDefault="00032473">
      <w:pPr>
        <w:rPr>
          <w:sz w:val="23"/>
          <w:szCs w:val="23"/>
        </w:rPr>
      </w:pPr>
    </w:p>
    <w:p w14:paraId="185E1E2C" w14:textId="77777777" w:rsidR="00032473" w:rsidRDefault="00D923F6">
      <w:pPr>
        <w:widowControl w:val="0"/>
        <w:rPr>
          <w:color w:val="000000"/>
          <w:sz w:val="23"/>
          <w:szCs w:val="22"/>
        </w:rPr>
      </w:pPr>
      <w:r>
        <w:rPr>
          <w:color w:val="000000"/>
          <w:sz w:val="23"/>
          <w:szCs w:val="23"/>
        </w:rPr>
        <w:t>This letter is regarding your Centers for Disease Control and Prevention and Agency for Toxic Substances and Disease Registry (CDC/ATSDR) Freedom of Information Act (FOIA) request of February 2, 2</w:t>
      </w:r>
      <w:r>
        <w:rPr>
          <w:color w:val="000000"/>
          <w:sz w:val="23"/>
          <w:szCs w:val="22"/>
        </w:rPr>
        <w:t xml:space="preserve">021, assigned #21-00597-FOIA, for (see attached (see attached request).  </w:t>
      </w:r>
    </w:p>
    <w:p w14:paraId="6DB84B3C" w14:textId="77777777" w:rsidR="00032473" w:rsidRDefault="00032473">
      <w:pPr>
        <w:widowControl w:val="0"/>
        <w:rPr>
          <w:sz w:val="23"/>
          <w:szCs w:val="23"/>
        </w:rPr>
      </w:pPr>
    </w:p>
    <w:p w14:paraId="52564F69" w14:textId="1FC622F9" w:rsidR="00DB40A2" w:rsidRDefault="00D923F6">
      <w:pPr>
        <w:rPr>
          <w:sz w:val="23"/>
          <w:szCs w:val="22"/>
        </w:rPr>
      </w:pPr>
      <w:r>
        <w:rPr>
          <w:sz w:val="23"/>
          <w:szCs w:val="23"/>
        </w:rPr>
        <w:t xml:space="preserve">We located </w:t>
      </w:r>
      <w:r>
        <w:rPr>
          <w:sz w:val="23"/>
          <w:szCs w:val="22"/>
        </w:rPr>
        <w:t>199</w:t>
      </w:r>
      <w:r w:rsidR="002D7F91">
        <w:rPr>
          <w:sz w:val="23"/>
          <w:szCs w:val="22"/>
        </w:rPr>
        <w:t>9</w:t>
      </w:r>
      <w:r>
        <w:rPr>
          <w:sz w:val="23"/>
          <w:szCs w:val="22"/>
        </w:rPr>
        <w:t xml:space="preserve"> </w:t>
      </w:r>
      <w:r>
        <w:rPr>
          <w:bCs/>
          <w:sz w:val="23"/>
          <w:szCs w:val="23"/>
        </w:rPr>
        <w:t xml:space="preserve">pages </w:t>
      </w:r>
      <w:r>
        <w:rPr>
          <w:sz w:val="23"/>
          <w:szCs w:val="23"/>
        </w:rPr>
        <w:t xml:space="preserve">of responsive records </w:t>
      </w:r>
      <w:r>
        <w:rPr>
          <w:sz w:val="23"/>
          <w:szCs w:val="22"/>
        </w:rPr>
        <w:t>(1427 pages withheld in full, 199 pages disclosed in part, 367 pages released in full</w:t>
      </w:r>
      <w:r w:rsidR="002D7F91">
        <w:rPr>
          <w:sz w:val="23"/>
          <w:szCs w:val="22"/>
        </w:rPr>
        <w:t>, 6 pages referred to HHS</w:t>
      </w:r>
      <w:r>
        <w:rPr>
          <w:sz w:val="23"/>
          <w:szCs w:val="22"/>
        </w:rPr>
        <w:t xml:space="preserve">). </w:t>
      </w:r>
      <w:r>
        <w:rPr>
          <w:sz w:val="23"/>
          <w:szCs w:val="23"/>
        </w:rPr>
        <w:t>After a careful review of these pages, some information was withheld from release pursuant to 5 U.S.C. §552 Exemption</w:t>
      </w:r>
      <w:r>
        <w:rPr>
          <w:sz w:val="23"/>
          <w:szCs w:val="22"/>
        </w:rPr>
        <w:t xml:space="preserve"> </w:t>
      </w:r>
      <w:r w:rsidR="006212EE">
        <w:rPr>
          <w:sz w:val="23"/>
          <w:szCs w:val="22"/>
        </w:rPr>
        <w:t xml:space="preserve">4, 5, and 6. </w:t>
      </w:r>
    </w:p>
    <w:p w14:paraId="0F387769" w14:textId="77777777" w:rsidR="00DB40A2" w:rsidRDefault="00DB40A2">
      <w:pPr>
        <w:rPr>
          <w:sz w:val="23"/>
          <w:szCs w:val="22"/>
        </w:rPr>
      </w:pPr>
    </w:p>
    <w:p w14:paraId="522B210D" w14:textId="71544B9B" w:rsidR="00032473" w:rsidRDefault="00DB40A2">
      <w:pPr>
        <w:rPr>
          <w:sz w:val="23"/>
          <w:szCs w:val="22"/>
        </w:rPr>
      </w:pPr>
      <w:hyperlink r:id="rId8" w:history="1">
        <w:r w:rsidRPr="00584E39">
          <w:rPr>
            <w:rStyle w:val="Hyperlink"/>
            <w:sz w:val="23"/>
            <w:szCs w:val="22"/>
          </w:rPr>
          <w:t>https://centersfordiseasecontrol.sharefile.com/d-sfd017a0b81a3454a8a0d03813bdae350</w:t>
        </w:r>
      </w:hyperlink>
      <w:r>
        <w:rPr>
          <w:sz w:val="23"/>
          <w:szCs w:val="22"/>
        </w:rPr>
        <w:t xml:space="preserve"> (link expires in 180 days)</w:t>
      </w:r>
    </w:p>
    <w:p w14:paraId="36589275" w14:textId="0449BF87" w:rsidR="005046A3" w:rsidRDefault="005046A3" w:rsidP="006212EE">
      <w:pPr>
        <w:rPr>
          <w:sz w:val="23"/>
          <w:szCs w:val="23"/>
        </w:rPr>
      </w:pPr>
    </w:p>
    <w:p w14:paraId="1C3DE866" w14:textId="77777777" w:rsidR="00032473" w:rsidRDefault="00D923F6">
      <w:pPr>
        <w:rPr>
          <w:b/>
          <w:sz w:val="23"/>
          <w:szCs w:val="23"/>
          <w:u w:val="single"/>
        </w:rPr>
      </w:pPr>
      <w:r>
        <w:rPr>
          <w:b/>
          <w:sz w:val="23"/>
          <w:szCs w:val="23"/>
          <w:u w:val="single"/>
        </w:rPr>
        <w:t>EXEMPTION 4</w:t>
      </w:r>
    </w:p>
    <w:p w14:paraId="0E0964C1" w14:textId="77777777" w:rsidR="00032473" w:rsidRDefault="00D923F6">
      <w:pPr>
        <w:rPr>
          <w:sz w:val="23"/>
          <w:szCs w:val="23"/>
        </w:rPr>
      </w:pPr>
      <w:r>
        <w:rPr>
          <w:sz w:val="23"/>
          <w:szCs w:val="23"/>
        </w:rPr>
        <w:t xml:space="preserve">Exemption 4 protects trade secrets and commercial or financial information obtained from a person that is privileged or confidential. The information withheld is commercial or financial information, such as </w:t>
      </w:r>
      <w:r>
        <w:rPr>
          <w:sz w:val="23"/>
          <w:szCs w:val="22"/>
        </w:rPr>
        <w:t>commercial analysis</w:t>
      </w:r>
      <w:r>
        <w:rPr>
          <w:sz w:val="23"/>
          <w:szCs w:val="23"/>
        </w:rPr>
        <w:t>, and we have determined that the individual/s to whom this information pertains have a substantial commercial or financial interest in withholding it.</w:t>
      </w:r>
    </w:p>
    <w:p w14:paraId="196AEF78" w14:textId="77777777" w:rsidR="00032473" w:rsidRDefault="00032473">
      <w:pPr>
        <w:rPr>
          <w:b/>
          <w:sz w:val="23"/>
          <w:szCs w:val="23"/>
          <w:u w:val="single"/>
        </w:rPr>
      </w:pPr>
    </w:p>
    <w:p w14:paraId="3671A0A4" w14:textId="77777777" w:rsidR="00032473" w:rsidRDefault="00D923F6">
      <w:pPr>
        <w:rPr>
          <w:b/>
          <w:sz w:val="23"/>
          <w:szCs w:val="23"/>
          <w:u w:val="single"/>
        </w:rPr>
      </w:pPr>
      <w:r>
        <w:rPr>
          <w:b/>
          <w:sz w:val="23"/>
          <w:szCs w:val="23"/>
          <w:u w:val="single"/>
        </w:rPr>
        <w:t>EXEMPTION 5</w:t>
      </w:r>
    </w:p>
    <w:p w14:paraId="402C8972" w14:textId="77777777" w:rsidR="00032473" w:rsidRDefault="00D923F6">
      <w:pPr>
        <w:rPr>
          <w:sz w:val="23"/>
          <w:szCs w:val="23"/>
        </w:rPr>
      </w:pPr>
      <w:r>
        <w:rPr>
          <w:sz w:val="23"/>
          <w:szCs w:val="23"/>
        </w:rPr>
        <w:t xml:space="preserve">Exemption 5 protects inter-agency or intra-agency memorandums or letters which would not be available by law to a party other than an agency in litigation with the agency. Exemption 5 therefore incorporates the privileges that protect materials from discovery in litigation, including the deliberative process, attorney work-product, and attorney-client privileges. Information withheld under this exemption was protected under the </w:t>
      </w:r>
      <w:r>
        <w:rPr>
          <w:sz w:val="23"/>
          <w:szCs w:val="23"/>
          <w:u w:val="single"/>
        </w:rPr>
        <w:t>deliberative process privilege</w:t>
      </w:r>
      <w:r>
        <w:rPr>
          <w:sz w:val="23"/>
          <w:szCs w:val="23"/>
        </w:rPr>
        <w:t>. The deliberative process privilege protects the decision-making process of government agencies. The deliberative process privilege protects materials that are both predecisional and deliberative.</w:t>
      </w:r>
      <w:r>
        <w:rPr>
          <w:color w:val="000000"/>
          <w:sz w:val="23"/>
          <w:szCs w:val="23"/>
        </w:rPr>
        <w:t xml:space="preserve"> </w:t>
      </w:r>
      <w:r>
        <w:rPr>
          <w:sz w:val="23"/>
          <w:szCs w:val="23"/>
        </w:rPr>
        <w:t>The materials that have been withheld under the deliberative process privilege of Exemption 5 are both predecisional and deliberative, and do not contain or represent formal or informal agency policies or decisions. Examples of information withheld include</w:t>
      </w:r>
      <w:r>
        <w:rPr>
          <w:sz w:val="23"/>
          <w:szCs w:val="22"/>
        </w:rPr>
        <w:t xml:space="preserve"> preliminary data.</w:t>
      </w:r>
    </w:p>
    <w:p w14:paraId="07A1BA67" w14:textId="77777777" w:rsidR="00032473" w:rsidRDefault="00032473">
      <w:pPr>
        <w:rPr>
          <w:b/>
          <w:sz w:val="23"/>
          <w:szCs w:val="23"/>
          <w:u w:val="single"/>
        </w:rPr>
      </w:pPr>
    </w:p>
    <w:p w14:paraId="6278A8AE" w14:textId="77777777" w:rsidR="00032473" w:rsidRDefault="00D923F6">
      <w:pPr>
        <w:rPr>
          <w:b/>
          <w:sz w:val="23"/>
          <w:szCs w:val="23"/>
          <w:u w:val="single"/>
        </w:rPr>
      </w:pPr>
      <w:r>
        <w:rPr>
          <w:b/>
          <w:sz w:val="23"/>
          <w:szCs w:val="23"/>
          <w:u w:val="single"/>
        </w:rPr>
        <w:t>EXEMPTION 6</w:t>
      </w:r>
    </w:p>
    <w:p w14:paraId="49EBFBF1" w14:textId="28A97218" w:rsidR="00032473" w:rsidRDefault="00D923F6">
      <w:pPr>
        <w:rPr>
          <w:sz w:val="23"/>
          <w:szCs w:val="23"/>
        </w:rPr>
      </w:pPr>
      <w:r>
        <w:rPr>
          <w:sz w:val="23"/>
          <w:szCs w:val="23"/>
        </w:rPr>
        <w:t xml:space="preserve">Exemption 6 protects information in personnel and medical files and similar files when disclosure would constitute a clearly unwarranted invasion of personal privacy. The information that has been withheld under Exemption 6 consists of personal information, such as </w:t>
      </w:r>
      <w:r>
        <w:rPr>
          <w:sz w:val="23"/>
          <w:szCs w:val="22"/>
        </w:rPr>
        <w:t>cell phone number and conference call informa</w:t>
      </w:r>
      <w:r w:rsidR="004353F3">
        <w:rPr>
          <w:sz w:val="23"/>
          <w:szCs w:val="22"/>
        </w:rPr>
        <w:t>ti</w:t>
      </w:r>
      <w:r>
        <w:rPr>
          <w:sz w:val="23"/>
          <w:szCs w:val="22"/>
        </w:rPr>
        <w:t>on</w:t>
      </w:r>
      <w:r>
        <w:rPr>
          <w:sz w:val="23"/>
          <w:szCs w:val="23"/>
        </w:rPr>
        <w:t>. We have determined that the individual(s) to whom this information pertains has a substantial privacy interest in withholding it.</w:t>
      </w:r>
    </w:p>
    <w:p w14:paraId="078ADDC3" w14:textId="756A298D" w:rsidR="00577F94" w:rsidRDefault="00577F94">
      <w:pPr>
        <w:rPr>
          <w:sz w:val="23"/>
          <w:szCs w:val="23"/>
        </w:rPr>
      </w:pPr>
    </w:p>
    <w:p w14:paraId="04C8EA68" w14:textId="36A76F97" w:rsidR="00577F94" w:rsidRDefault="00577F94">
      <w:pPr>
        <w:rPr>
          <w:b/>
          <w:sz w:val="23"/>
          <w:szCs w:val="23"/>
          <w:u w:val="single"/>
        </w:rPr>
      </w:pPr>
      <w:r>
        <w:rPr>
          <w:sz w:val="23"/>
          <w:szCs w:val="23"/>
        </w:rPr>
        <w:lastRenderedPageBreak/>
        <w:t xml:space="preserve">We are referring </w:t>
      </w:r>
      <w:r w:rsidR="002D7F91">
        <w:rPr>
          <w:sz w:val="23"/>
          <w:szCs w:val="23"/>
        </w:rPr>
        <w:t xml:space="preserve">6 pages </w:t>
      </w:r>
      <w:r w:rsidR="00A453E2">
        <w:rPr>
          <w:sz w:val="23"/>
          <w:szCs w:val="23"/>
        </w:rPr>
        <w:t xml:space="preserve">to the Department of Health and Human Services, Freedom of Information Act Office for further processing and direct reply to you since these records fall under their jurisdiction. </w:t>
      </w:r>
    </w:p>
    <w:p w14:paraId="7D2D397E" w14:textId="77777777" w:rsidR="00032473" w:rsidRDefault="00032473">
      <w:pPr>
        <w:rPr>
          <w:b/>
          <w:sz w:val="23"/>
          <w:szCs w:val="23"/>
          <w:u w:val="single"/>
        </w:rPr>
      </w:pPr>
    </w:p>
    <w:p w14:paraId="3FD48353" w14:textId="77777777" w:rsidR="00EF3D3D" w:rsidRDefault="00EF3D3D">
      <w:pPr>
        <w:rPr>
          <w:sz w:val="23"/>
          <w:szCs w:val="23"/>
        </w:rPr>
      </w:pPr>
    </w:p>
    <w:p w14:paraId="757F2E49" w14:textId="77777777" w:rsidR="00EF3D3D" w:rsidRDefault="00EF3D3D">
      <w:pPr>
        <w:rPr>
          <w:sz w:val="23"/>
          <w:szCs w:val="23"/>
        </w:rPr>
      </w:pPr>
    </w:p>
    <w:p w14:paraId="4B039B06" w14:textId="56BEEC61" w:rsidR="00032473" w:rsidRDefault="00D923F6">
      <w:pPr>
        <w:rPr>
          <w:sz w:val="23"/>
          <w:szCs w:val="23"/>
        </w:rPr>
      </w:pPr>
      <w:r>
        <w:rPr>
          <w:sz w:val="23"/>
          <w:szCs w:val="23"/>
        </w:rPr>
        <w:t>You may contact our FOIA Public Liaison at 770-488-62</w:t>
      </w:r>
      <w:r>
        <w:rPr>
          <w:sz w:val="23"/>
          <w:szCs w:val="22"/>
        </w:rPr>
        <w:t>77</w:t>
      </w:r>
      <w:r>
        <w:rPr>
          <w:sz w:val="23"/>
          <w:szCs w:val="23"/>
        </w:rPr>
        <w:t xml:space="preserve"> for any further assistance and to discuss any aspect of your request. Additionally, you may contact the Office of Government Information Services (OGIS) at the National Archives and Records Administration to inquire about the FOIA mediation services they offer. The contact information for OGIS is as follows: Office of Government Information Services, National Archives and Records Administration, 8601 Adelphi Road-OGIS, College Park, Maryland  20740-6001, e-mail at ogis@nara.gov; telephone at 202-741-5770; toll free at 1-877-684-6448; or facsimile at 202-741-5769.</w:t>
      </w:r>
    </w:p>
    <w:p w14:paraId="645EFF95" w14:textId="77777777" w:rsidR="00032473" w:rsidRDefault="00032473">
      <w:pPr>
        <w:rPr>
          <w:sz w:val="23"/>
          <w:szCs w:val="23"/>
        </w:rPr>
      </w:pPr>
    </w:p>
    <w:p w14:paraId="2B7FDF22" w14:textId="48FD8BA1" w:rsidR="00032473" w:rsidRDefault="00D923F6">
      <w:pPr>
        <w:rPr>
          <w:sz w:val="23"/>
          <w:szCs w:val="22"/>
        </w:rPr>
      </w:pPr>
      <w:r>
        <w:rPr>
          <w:sz w:val="23"/>
          <w:szCs w:val="23"/>
        </w:rPr>
        <w:t>If you are not satisfied with the response to this request, you may administratively appeal</w:t>
      </w:r>
      <w:r>
        <w:rPr>
          <w:sz w:val="23"/>
          <w:szCs w:val="22"/>
        </w:rPr>
        <w:t xml:space="preserve"> to</w:t>
      </w:r>
      <w:hyperlink r:id="rId9">
        <w:r>
          <w:rPr>
            <w:rStyle w:val="Hyperlink"/>
            <w:rFonts w:ascii="Times" w:hAnsi="Times"/>
            <w:color w:val="483D8B"/>
            <w:sz w:val="22"/>
            <w:u w:val="none"/>
          </w:rPr>
          <w:t xml:space="preserve"> the Deputy Agency Chief FOIA Officer, Office of the Assistant Secretary for Public Affairs, U.S. Department of Health and Human Services, via the online portal at </w:t>
        </w:r>
        <w:r>
          <w:rPr>
            <w:rStyle w:val="Hyperlink"/>
            <w:rFonts w:ascii="Times" w:hAnsi="Times"/>
          </w:rPr>
          <w:t>https://requests.publiclink.hhs.gov/App/Index.aspx.</w:t>
        </w:r>
        <w:r>
          <w:rPr>
            <w:rStyle w:val="Hyperlink"/>
            <w:rFonts w:ascii="Times" w:hAnsi="Times"/>
            <w:u w:val="none"/>
          </w:rPr>
          <w:t xml:space="preserve"> </w:t>
        </w:r>
      </w:hyperlink>
      <w:r>
        <w:rPr>
          <w:sz w:val="23"/>
          <w:szCs w:val="23"/>
        </w:rPr>
        <w:t>Your appeal must be electronically transmitted by</w:t>
      </w:r>
      <w:r>
        <w:rPr>
          <w:sz w:val="23"/>
          <w:szCs w:val="22"/>
        </w:rPr>
        <w:t xml:space="preserve"> December 2</w:t>
      </w:r>
      <w:r w:rsidR="004353F3">
        <w:rPr>
          <w:sz w:val="23"/>
          <w:szCs w:val="22"/>
        </w:rPr>
        <w:t>4</w:t>
      </w:r>
      <w:r>
        <w:rPr>
          <w:sz w:val="23"/>
          <w:szCs w:val="22"/>
        </w:rPr>
        <w:t>, 2021.</w:t>
      </w:r>
    </w:p>
    <w:p w14:paraId="639FD352" w14:textId="77777777" w:rsidR="00032473" w:rsidRDefault="00032473">
      <w:pPr>
        <w:rPr>
          <w:sz w:val="23"/>
          <w:szCs w:val="23"/>
        </w:rPr>
      </w:pPr>
    </w:p>
    <w:p w14:paraId="057AE4EF" w14:textId="77777777" w:rsidR="00032473" w:rsidRDefault="00D923F6">
      <w:pPr>
        <w:widowControl w:val="0"/>
        <w:ind w:left="4320"/>
        <w:rPr>
          <w:sz w:val="23"/>
          <w:szCs w:val="23"/>
        </w:rPr>
      </w:pPr>
      <w:r>
        <w:rPr>
          <w:sz w:val="23"/>
          <w:szCs w:val="23"/>
        </w:rPr>
        <w:t>Sincerely,</w:t>
      </w:r>
    </w:p>
    <w:p w14:paraId="56AD46C4" w14:textId="77777777" w:rsidR="00032473" w:rsidRDefault="00D923F6">
      <w:pPr>
        <w:ind w:left="3600" w:firstLine="720"/>
        <w:rPr>
          <w:sz w:val="23"/>
          <w:szCs w:val="23"/>
        </w:rPr>
      </w:pPr>
      <w:r>
        <w:rPr>
          <w:noProof/>
          <w:sz w:val="23"/>
          <w:szCs w:val="23"/>
        </w:rPr>
        <w:drawing>
          <wp:inline distT="0" distB="0" distL="0" distR="0" wp14:anchorId="57D072EF" wp14:editId="72D61243">
            <wp:extent cx="9715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31087" name="Picture 1"/>
                    <pic:cNvPicPr>
                      <a:picLocks noChangeAspect="1" noChangeArrowheads="1"/>
                    </pic:cNvPicPr>
                  </pic:nvPicPr>
                  <pic:blipFill dpi="0">
                    <a:blip r:embed="rId10"/>
                    <a:srcRect/>
                    <a:stretch>
                      <a:fillRect/>
                    </a:stretch>
                  </pic:blipFill>
                  <pic:spPr bwMode="auto">
                    <a:xfrm>
                      <a:off x="0" y="0"/>
                      <a:ext cx="971550" cy="885825"/>
                    </a:xfrm>
                    <a:prstGeom prst="rect">
                      <a:avLst/>
                    </a:prstGeom>
                    <a:noFill/>
                    <a:ln>
                      <a:noFill/>
                    </a:ln>
                  </pic:spPr>
                </pic:pic>
              </a:graphicData>
            </a:graphic>
          </wp:inline>
        </w:drawing>
      </w:r>
    </w:p>
    <w:p w14:paraId="5080B1E8" w14:textId="77777777" w:rsidR="00032473" w:rsidRDefault="00D923F6">
      <w:pPr>
        <w:ind w:left="3600" w:firstLine="720"/>
        <w:rPr>
          <w:sz w:val="23"/>
          <w:szCs w:val="23"/>
        </w:rPr>
      </w:pPr>
      <w:r>
        <w:rPr>
          <w:sz w:val="23"/>
          <w:szCs w:val="23"/>
        </w:rPr>
        <w:t>Roger Andoh</w:t>
      </w:r>
    </w:p>
    <w:p w14:paraId="7435EFEA" w14:textId="77777777" w:rsidR="00032473" w:rsidRDefault="00D923F6">
      <w:pPr>
        <w:ind w:left="3600" w:firstLine="720"/>
        <w:rPr>
          <w:sz w:val="23"/>
          <w:szCs w:val="23"/>
        </w:rPr>
      </w:pPr>
      <w:r>
        <w:rPr>
          <w:sz w:val="23"/>
          <w:szCs w:val="23"/>
        </w:rPr>
        <w:t>CDC/ATSDR FOIA Officer</w:t>
      </w:r>
    </w:p>
    <w:p w14:paraId="5441CDA8" w14:textId="77777777" w:rsidR="00032473" w:rsidRDefault="00D923F6">
      <w:pPr>
        <w:ind w:left="3600" w:firstLine="720"/>
        <w:rPr>
          <w:sz w:val="23"/>
          <w:szCs w:val="23"/>
        </w:rPr>
      </w:pPr>
      <w:r>
        <w:rPr>
          <w:sz w:val="23"/>
          <w:szCs w:val="23"/>
        </w:rPr>
        <w:t>Office of the Chief Operating Officer</w:t>
      </w:r>
    </w:p>
    <w:p w14:paraId="7B7B845D" w14:textId="77777777" w:rsidR="00032473" w:rsidRDefault="00D923F6">
      <w:pPr>
        <w:ind w:left="3600" w:firstLine="720"/>
        <w:rPr>
          <w:sz w:val="23"/>
          <w:szCs w:val="23"/>
        </w:rPr>
      </w:pPr>
      <w:r>
        <w:rPr>
          <w:sz w:val="23"/>
          <w:szCs w:val="23"/>
        </w:rPr>
        <w:t>(770) 488-6399</w:t>
      </w:r>
    </w:p>
    <w:p w14:paraId="4C91D7EC" w14:textId="77777777" w:rsidR="00032473" w:rsidRDefault="00D923F6">
      <w:pPr>
        <w:ind w:left="3600" w:firstLine="720"/>
        <w:rPr>
          <w:sz w:val="23"/>
          <w:szCs w:val="23"/>
        </w:rPr>
      </w:pPr>
      <w:r>
        <w:rPr>
          <w:sz w:val="23"/>
          <w:szCs w:val="23"/>
        </w:rPr>
        <w:t>Fax: (404) 235-1852</w:t>
      </w:r>
    </w:p>
    <w:p w14:paraId="1215678E" w14:textId="77777777" w:rsidR="00032473" w:rsidRDefault="00032473">
      <w:pPr>
        <w:rPr>
          <w:sz w:val="23"/>
          <w:szCs w:val="23"/>
        </w:rPr>
      </w:pPr>
    </w:p>
    <w:p w14:paraId="5A327EDD" w14:textId="77777777" w:rsidR="00032473" w:rsidRDefault="00D923F6">
      <w:pPr>
        <w:rPr>
          <w:sz w:val="23"/>
          <w:szCs w:val="23"/>
        </w:rPr>
      </w:pPr>
      <w:r>
        <w:rPr>
          <w:sz w:val="23"/>
          <w:szCs w:val="23"/>
        </w:rPr>
        <w:t>Enclosures</w:t>
      </w:r>
    </w:p>
    <w:p w14:paraId="5E39BAAD" w14:textId="77777777" w:rsidR="00032473" w:rsidRDefault="00032473">
      <w:pPr>
        <w:rPr>
          <w:sz w:val="23"/>
          <w:szCs w:val="23"/>
        </w:rPr>
      </w:pPr>
    </w:p>
    <w:p w14:paraId="67BB693E" w14:textId="77777777" w:rsidR="00032473" w:rsidRDefault="00D923F6">
      <w:pPr>
        <w:rPr>
          <w:sz w:val="23"/>
          <w:szCs w:val="23"/>
        </w:rPr>
      </w:pPr>
      <w:r>
        <w:rPr>
          <w:sz w:val="23"/>
          <w:szCs w:val="23"/>
        </w:rPr>
        <w:t>21-00597-FOIA</w:t>
      </w:r>
    </w:p>
    <w:p w14:paraId="1BC16D08" w14:textId="77777777" w:rsidR="00032473" w:rsidRDefault="00032473"/>
    <w:sectPr w:rsidR="00032473">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951F" w14:textId="77777777" w:rsidR="00D923F6" w:rsidRDefault="00D923F6">
      <w:r>
        <w:separator/>
      </w:r>
    </w:p>
  </w:endnote>
  <w:endnote w:type="continuationSeparator" w:id="0">
    <w:p w14:paraId="102EC47F" w14:textId="77777777" w:rsidR="00D923F6" w:rsidRDefault="00D9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0E18" w14:textId="77777777" w:rsidR="00032473" w:rsidRDefault="0003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A273" w14:textId="77777777" w:rsidR="00032473" w:rsidRDefault="0003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D9B9" w14:textId="77777777" w:rsidR="00032473" w:rsidRDefault="0003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94858" w14:textId="77777777" w:rsidR="00D923F6" w:rsidRDefault="00D923F6">
      <w:r>
        <w:separator/>
      </w:r>
    </w:p>
  </w:footnote>
  <w:footnote w:type="continuationSeparator" w:id="0">
    <w:p w14:paraId="5ADB32DF" w14:textId="77777777" w:rsidR="00D923F6" w:rsidRDefault="00D9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8C83" w14:textId="77777777" w:rsidR="00032473" w:rsidRDefault="0003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67487" w14:textId="77777777" w:rsidR="00032473" w:rsidRDefault="00D923F6">
    <w:pPr>
      <w:pStyle w:val="Header"/>
      <w:rPr>
        <w:noProof/>
        <w:sz w:val="24"/>
        <w:szCs w:val="24"/>
      </w:rPr>
    </w:pPr>
    <w:r>
      <w:rPr>
        <w:sz w:val="24"/>
        <w:szCs w:val="24"/>
      </w:rPr>
      <w:t xml:space="preserve">Page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w:t>
    </w:r>
    <w:r>
      <w:rPr>
        <w:noProof/>
        <w:sz w:val="24"/>
        <w:szCs w:val="24"/>
      </w:rPr>
      <w:fldChar w:fldCharType="end"/>
    </w:r>
    <w:r>
      <w:rPr>
        <w:noProof/>
        <w:sz w:val="24"/>
        <w:szCs w:val="24"/>
      </w:rPr>
      <w:t xml:space="preserve"> – Elizabeth Brehm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82680" w14:textId="77777777" w:rsidR="00032473" w:rsidRDefault="00032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73"/>
    <w:rsid w:val="00032473"/>
    <w:rsid w:val="00044EBE"/>
    <w:rsid w:val="002D7F91"/>
    <w:rsid w:val="002E28AB"/>
    <w:rsid w:val="004353F3"/>
    <w:rsid w:val="005046A3"/>
    <w:rsid w:val="00577F94"/>
    <w:rsid w:val="006212EE"/>
    <w:rsid w:val="00A453E2"/>
    <w:rsid w:val="00BB02F0"/>
    <w:rsid w:val="00D923F6"/>
    <w:rsid w:val="00DB40A2"/>
    <w:rsid w:val="00EF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AB4E3"/>
  <w15:docId w15:val="{1F85C732-9BB8-4EA8-96FA-76CDBA8D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rPr>
      <w:sz w:val="22"/>
      <w:szCs w:val="22"/>
    </w:rPr>
  </w:style>
  <w:style w:type="paragraph" w:styleId="Footer">
    <w:name w:val="footer"/>
    <w:basedOn w:val="Normal"/>
    <w:link w:val="FooterChar"/>
    <w:pPr>
      <w:tabs>
        <w:tab w:val="center" w:pos="4680"/>
        <w:tab w:val="right" w:pos="9360"/>
      </w:tabs>
    </w:pPr>
    <w:rPr>
      <w:sz w:val="22"/>
      <w:szCs w:val="22"/>
    </w:rPr>
  </w:style>
  <w:style w:type="paragraph" w:styleId="BalloonText">
    <w:name w:val="Balloon Text"/>
    <w:basedOn w:val="Normal"/>
    <w:link w:val="BalloonTextChar"/>
    <w:semiHidden/>
    <w:rPr>
      <w:rFonts w:ascii="Segoe UI" w:hAnsi="Segoe UI"/>
      <w:sz w:val="18"/>
      <w:szCs w:val="18"/>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semiHidden/>
    <w:rPr>
      <w:color w:val="0000FF"/>
      <w:u w:val="single"/>
    </w:r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character" w:customStyle="1" w:styleId="BalloonTextChar">
    <w:name w:val="Balloon Text Char"/>
    <w:basedOn w:val="DefaultParagraphFont"/>
    <w:link w:val="BalloonText"/>
    <w:semiHidden/>
    <w:rPr>
      <w:rFonts w:ascii="Segoe UI" w:hAnsi="Segoe UI"/>
      <w:sz w:val="18"/>
      <w:szCs w:val="18"/>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B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entersfordiseasecontrol.sharefile.com/d-sfd017a0b81a3454a8a0d03813bdae3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OIARequest@psc.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CEF0-C3C4-41A1-90E4-59EBD722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3517</Characters>
  <Application>Microsoft Office Word</Application>
  <DocSecurity>0</DocSecurity>
  <Lines>29</Lines>
  <Paragraphs>8</Paragraphs>
  <ScaleCrop>false</ScaleCrop>
  <Company>Centers for Disease Control and Prevention</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Laura (CDC/OCOO/OCIO)</dc:creator>
  <cp:lastModifiedBy>Schofield, LaShonda (CDC/OCOO/OD)</cp:lastModifiedBy>
  <cp:revision>2</cp:revision>
  <dcterms:created xsi:type="dcterms:W3CDTF">2021-09-24T12:41:00Z</dcterms:created>
  <dcterms:modified xsi:type="dcterms:W3CDTF">2021-09-24T12:41:00Z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2021-09-24T12:05:10Z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a61d32e1-f856-477e-9802-d1edbb97086a</vt:lpwstr>
  </property>
  <property fmtid="{D5CDD505-2E9C-101B-9397-08002B2CF9AE}" pid="8" name="MSIP_Label_8af03ff0-41c5-4c41-b55e-fabb8fae94be_ContentBits">
    <vt:lpwstr>0</vt:lpwstr>
  </property>
</Properties>
</file>